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162</w:t>
      </w:r>
    </w:p>
    <w:p>
      <w:r>
        <w:t>Bundesgericht (BGE), 1977-06-02, DE</w:t>
      </w:r>
    </w:p>
    <w:p>
      <w:r>
        <w:rPr>
          <w:b/>
        </w:rPr>
        <w:t xml:space="preserve">Quelle: </w:t>
      </w:r>
      <w:r>
        <w:t>https://mcp.opencaselaw.ch/entscheid/bge_103 IV 162</w:t>
      </w:r>
    </w:p>
    <w:p>
      <w:r>
        <w:t>FR: ATF 103 IV 162</w:t>
      </w:r>
    </w:p>
    <w:p>
      <w:r>
        <w:t>IT: DTF 103 IV 162</w:t>
      </w:r>
    </w:p>
    <w:p>
      <w:pPr>
        <w:pStyle w:val="Heading2"/>
      </w:pPr>
      <w:r>
        <w:t>Regeste</w:t>
      </w:r>
    </w:p>
    <w:p>
      <w:r>
        <w:t>Regeste Art. 186 StGB, Hausfriedensbruch. 1. Begriff (Erw. 1 und 2). 2. Nach geltendem Zivilrecht kann der Ehemann gegen den Willen der Ehefrau einer Drittperson das Haus verbieten; die Ehefrau kann nicht durch eigene Einladung das vom Ehemann erlassene Hausverbot unwirksam machen (Erw. 3).</w:t>
      </w:r>
    </w:p>
    <w:p>
      <w:pPr>
        <w:pStyle w:val="Heading2"/>
      </w:pPr>
      <w:r>
        <w:t>Erwägungen</w:t>
      </w:r>
    </w:p>
    <w:p>
      <w:r>
        <w:rPr>
          <w:b/>
        </w:rPr>
        <w:t>E. 1</w:t>
      </w:r>
    </w:p>
    <w:p>
      <w:r>
        <w:t>Des Hausfriedensbruchs gemäss Art. 186 StGB macht sich insbesondere schuldig, wer gegen den Willen des Berechtigten in ein Haus unrechtmässig eindringt. Art. 186 StGB schützt das Hausrecht, nämlich die Befugnis, über das Haus ungestört zu herrschen und in ihm den eigenen Willen frei zu betätigen. Träger dieses Rechts ist derjenige, dem die Verfügungsgewalt über das Haus zusteht, gleichgültig, ob sie auf einem dinglichen oder obligatorischen oder auf einem öffentlichrechtlichen Verhältnis beruht ( BGE 90 IV 76 ). Es unterliegt keinem Zweifel, dass sowohl der Ehemann wie die Ehefrau gegenüber einem Störer das Hausrecht ausüben können, gleichgültig, wer Eigentümer oder Mieter ist. Jedes von ihnen könnte z.B. gegenüber einem aufsässigen Vertreter oder lästigen Nachbarn ein Hausverbot erlassen und bei dessen Verletzung gültig Strafantrag wegen Hausfriedensbruchs stellen.</w:t>
      </w:r>
    </w:p>
    <w:p>
      <w:r>
        <w:rPr>
          <w:b/>
        </w:rPr>
        <w:t>E. 2</w:t>
      </w:r>
    </w:p>
    <w:p>
      <w:r>
        <w:t>Das Hausrecht garantiert die Unverletzlichkeit des eigenen Heims, nicht wie in der Beschwerde behauptet den Anspruch darauf, nicht mit einem bestimmten Dritten konfrontiert zu werden. Der Hauseigentümer, der jedem Bettler und Hausierer durch Anschlag an der Tür seines Wohnblocks das Betreten verbietet, wohnt möglicherweise in einer andern Stadt und begibt sich nur alle paar Jahre in sein Haus; das Hausverbot gilt gleichwohl, bei Übertretung kann - auch durch den abwesenden Eigentümer - Strafantrag gestellt werden. Abwegig ist die These des Beschwerdeführers, ein an sich gültiges Hausverbot des Ehemannes gegen einen Ehestörer entfalte nur Wirkung für die Zeit, wo normalerweise der Ehemann zuhause sei, nicht aber bei dessen längerer Abwesenheit. BGE 103 IV 162 S. 164 Das Gegenteil ist richtig: Für die Zeit des Aufenthalts zuhause bedürfte es nicht eines schriftlichen Hausverbots, hier könnte der Hausherr selbst zum Rechten sehen. Um sich dagegen zu schützen, dass während längerer Abwesenheit des Hausherrn der unerwünschte Hausfreund sich im Heim niederlässt, war das Hausverbot das zweckmässige Mittel; bei dessen Übertretung konnte der Hausherr auch dann Strafantrag stellen, wenn er sie gar nicht persönlich feststellte, sondern z.B. durch Nachbarn informiert wurde.</w:t>
      </w:r>
    </w:p>
    <w:p>
      <w:r>
        <w:rPr>
          <w:b/>
        </w:rPr>
        <w:t>E. 3</w:t>
      </w:r>
    </w:p>
    <w:p>
      <w:r>
        <w:t>Im vorliegenden Fall stellt sich die Frage, ob ein Ehegatte gegen den Willen des andern einer Drittperson wirksam das Haus verbieten kann und ob dieser durch eigene Einladung das vom Ehegatten erlassene Hausverbot unwirksam machen kann. a) Wie Vorinstanz und Beschwerdeführer mit Recht feststellen, sind die sachen- und obligationenrechtlichen Verhältnisse nicht entscheidend. Das Hausrecht steht wie erwähnt an sich beiden Ehegatten zu, gleichgültig, wer von ihnen Eigentümer bzw. Mieter der Räume ist. b) Nach geltendem Recht ist der Mann das Haupt der Gemeinschaft ( Art. 160 Abs. 1 ZGB ). Er vertritt sie nach aussen ( Art. 162 Abs. 1 ZGB ). Stehen Rechte Mann und Frau gleichermassen zu, so entscheidet im Streitfall der Wille des Mannes (so ausdrücklich für die Ausübung der elterlichen Gewalt Art. 274 Abs. 2 ZGB ). Bei Meinungsverschiedenheiten darüber, ob eine Drittperson das eheliche Heim aufsuchen darf oder ihm fernbleiben muss, kommt es auf die Willensäusserung des Mannes an. Diese heute noch geltende Ordnung wird sich mit dem neuen Eherecht ändern, das die Gleichberechtigung der Ehegatten bringt. Wie dannzumal über ein streitiges Hausverbot zu entscheiden ist, kann hier offen bleiben. c) Alle Rechte gelten nur unter Vorbehalt des Missbrauchs ( Art. 2 ZGB ; BGE 94 I 520 E. 4a). Erlässt ein Ehemann ohne schutzwürdiges Interesse gegenüber einem Dritten ein Hausverbot und beeinträchtigt er dadurch eine angemessene persönliche Beziehung des andern Ehegatten, so kann dieser die Hilfe des Eheschutzrichters anrufen. Der Beschwerdeführer (und die Ehefrau des Beschwerdegegners) behauptet nicht, S. habe das Hausverbot ohne triftigen Grund erlassen. Zwischen dessen Ehefrau und dem Beschwerdeführer BGE 103 IV 162 S. 165 bestand ein ehebrecherisches Verhältnis. Dass die Ehefrau bei dieser Sachlage sich nicht beim Eheschutzrichter über das Hausverbot gegenüber dem Beschwerdeführer beklagte, ist verständlich. d) Man könnte sich fragen, ob ein Hausverbot und eine Bestrafung wegen Hausfriedensbruchs die geeigneten Mittel zur Verteidigung der verletzten Rechte eines Ehegatten sind, oder ob hiefür einzig die Rechtsbehelfe des Ehe- und des Scheidungsrechts eingesetzt werden dürfen. Es bedeutet indessen nicht einen übermässigen Eingriff in die höchstpersönlichen Rechte eines Ehegatten auf freie Gestaltung seiner Beziehungen zu Dritten, wenn ihm durch Strafdrohung gegenüber dem Dritten verunmöglicht wird, mit diesem im ehelichen Heim in ehewidrigen Kontakt zu treten. Was im gemeinsamen Haus geschieht, ist nicht ausschliesslich die höchstpersönliche Angelegenheit jedes Ehegatten, sondern berührt auch den anderen, solange die eheliche Gemeinschaft nicht aufgehoben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